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45D5" w14:textId="372C97DD" w:rsidR="00C768C0" w:rsidRPr="00DC1085" w:rsidRDefault="00C768C0" w:rsidP="00C768C0">
      <w:pPr>
        <w:pStyle w:val="Titelzeile"/>
        <w:contextualSpacing/>
        <w:rPr>
          <w:rFonts w:ascii="Arial" w:hAnsi="Arial"/>
          <w:sz w:val="24"/>
          <w:szCs w:val="18"/>
        </w:rPr>
      </w:pPr>
      <w:r w:rsidRPr="00DC1085">
        <w:rPr>
          <w:rFonts w:ascii="Arial" w:hAnsi="Arial"/>
          <w:sz w:val="24"/>
          <w:szCs w:val="18"/>
        </w:rPr>
        <w:t>A Flexible, User-Friendly Semantic Uploader for FAIR-Compliant RDF Workflows in Catalysis Research</w:t>
      </w:r>
    </w:p>
    <w:p w14:paraId="1E20FAC9" w14:textId="3840566E" w:rsidR="00C768C0" w:rsidRPr="00DC1085" w:rsidRDefault="00C768C0" w:rsidP="00C768C0">
      <w:pPr>
        <w:pStyle w:val="Autoren"/>
        <w:contextualSpacing/>
        <w:rPr>
          <w:rFonts w:ascii="Arial" w:hAnsi="Arial" w:cs="Arial"/>
          <w:sz w:val="22"/>
          <w:szCs w:val="18"/>
        </w:rPr>
      </w:pPr>
      <w:r w:rsidRPr="00DC1085">
        <w:rPr>
          <w:rFonts w:ascii="Arial" w:hAnsi="Arial" w:cs="Arial"/>
          <w:sz w:val="22"/>
          <w:szCs w:val="18"/>
          <w:lang w:val="en-US"/>
        </w:rPr>
        <w:t>Yuliia Dikova</w:t>
      </w:r>
      <w:r w:rsidRPr="00DC1085">
        <w:rPr>
          <w:rFonts w:ascii="Arial" w:hAnsi="Arial" w:cs="Arial"/>
          <w:sz w:val="22"/>
          <w:szCs w:val="18"/>
          <w:vertAlign w:val="superscript"/>
          <w:lang w:val="en-US"/>
        </w:rPr>
        <w:t>1</w:t>
      </w:r>
      <w:r w:rsidRPr="00DC1085">
        <w:rPr>
          <w:rFonts w:ascii="Arial" w:hAnsi="Arial" w:cs="Arial"/>
          <w:sz w:val="22"/>
          <w:szCs w:val="18"/>
          <w:lang w:val="en-US"/>
        </w:rPr>
        <w:t xml:space="preserve">, </w:t>
      </w:r>
      <w:r w:rsidRPr="00DC1085">
        <w:rPr>
          <w:rFonts w:ascii="Arial" w:hAnsi="Arial" w:cs="Arial"/>
          <w:sz w:val="22"/>
          <w:szCs w:val="18"/>
        </w:rPr>
        <w:t>Preston Rodrigues</w:t>
      </w:r>
      <w:r w:rsidRPr="00DC1085">
        <w:rPr>
          <w:rFonts w:ascii="Arial" w:hAnsi="Arial" w:cs="Arial"/>
          <w:sz w:val="22"/>
          <w:szCs w:val="18"/>
          <w:vertAlign w:val="superscript"/>
        </w:rPr>
        <w:t>1</w:t>
      </w:r>
      <w:r w:rsidRPr="00DC1085">
        <w:rPr>
          <w:rFonts w:ascii="Arial" w:hAnsi="Arial" w:cs="Arial"/>
          <w:sz w:val="22"/>
          <w:szCs w:val="18"/>
        </w:rPr>
        <w:t xml:space="preserve">, </w:t>
      </w:r>
      <w:r w:rsidRPr="00DC1085">
        <w:rPr>
          <w:rFonts w:ascii="Arial" w:hAnsi="Arial" w:cs="Arial"/>
          <w:sz w:val="22"/>
          <w:szCs w:val="18"/>
          <w:lang w:val="en-US"/>
        </w:rPr>
        <w:t>Thomas Bönish</w:t>
      </w:r>
      <w:r w:rsidRPr="00DC1085">
        <w:rPr>
          <w:rFonts w:ascii="Arial" w:hAnsi="Arial" w:cs="Arial"/>
          <w:sz w:val="22"/>
          <w:szCs w:val="18"/>
          <w:vertAlign w:val="superscript"/>
          <w:lang w:val="en-US"/>
        </w:rPr>
        <w:t>1</w:t>
      </w:r>
      <w:r w:rsidRPr="00DC1085">
        <w:rPr>
          <w:rFonts w:ascii="Arial" w:hAnsi="Arial" w:cs="Arial"/>
          <w:sz w:val="22"/>
          <w:szCs w:val="18"/>
          <w:lang w:val="en-US"/>
        </w:rPr>
        <w:t xml:space="preserve"> </w:t>
      </w:r>
    </w:p>
    <w:p w14:paraId="7241B4FA" w14:textId="77777777" w:rsidR="00C768C0" w:rsidRPr="00DC1085" w:rsidRDefault="00C768C0" w:rsidP="00C768C0">
      <w:pPr>
        <w:pStyle w:val="Autoren"/>
        <w:contextualSpacing/>
        <w:rPr>
          <w:rFonts w:ascii="Arial" w:hAnsi="Arial" w:cs="Arial"/>
          <w:sz w:val="22"/>
          <w:szCs w:val="18"/>
        </w:rPr>
      </w:pPr>
      <w:r w:rsidRPr="00DC1085">
        <w:rPr>
          <w:rFonts w:ascii="Arial" w:hAnsi="Arial" w:cs="Arial"/>
          <w:sz w:val="22"/>
          <w:szCs w:val="18"/>
          <w:vertAlign w:val="superscript"/>
        </w:rPr>
        <w:t>1</w:t>
      </w:r>
      <w:r w:rsidRPr="00DC1085">
        <w:rPr>
          <w:rFonts w:ascii="Arial" w:hAnsi="Arial" w:cs="Arial"/>
          <w:sz w:val="22"/>
          <w:szCs w:val="18"/>
        </w:rPr>
        <w:t xml:space="preserve">High-Performance Computing </w:t>
      </w:r>
      <w:proofErr w:type="spellStart"/>
      <w:r w:rsidRPr="00DC1085">
        <w:rPr>
          <w:rFonts w:ascii="Arial" w:hAnsi="Arial" w:cs="Arial"/>
          <w:sz w:val="22"/>
          <w:szCs w:val="18"/>
        </w:rPr>
        <w:t>Center</w:t>
      </w:r>
      <w:proofErr w:type="spellEnd"/>
      <w:r w:rsidRPr="00DC1085">
        <w:rPr>
          <w:rFonts w:ascii="Arial" w:hAnsi="Arial" w:cs="Arial"/>
          <w:sz w:val="22"/>
          <w:szCs w:val="18"/>
        </w:rPr>
        <w:t xml:space="preserve"> </w:t>
      </w:r>
      <w:proofErr w:type="gramStart"/>
      <w:r w:rsidRPr="00DC1085">
        <w:rPr>
          <w:rFonts w:ascii="Arial" w:hAnsi="Arial" w:cs="Arial"/>
          <w:sz w:val="22"/>
          <w:szCs w:val="18"/>
        </w:rPr>
        <w:t>Stuttgart(</w:t>
      </w:r>
      <w:proofErr w:type="gramEnd"/>
      <w:r w:rsidRPr="00DC1085">
        <w:rPr>
          <w:rFonts w:ascii="Arial" w:hAnsi="Arial" w:cs="Arial"/>
          <w:sz w:val="22"/>
          <w:szCs w:val="18"/>
        </w:rPr>
        <w:t xml:space="preserve">HLRS),University of Stuttgart, Stuttgart, Germany </w:t>
      </w:r>
    </w:p>
    <w:p w14:paraId="44727D64" w14:textId="77777777" w:rsidR="00C768C0" w:rsidRPr="00C768C0" w:rsidRDefault="00C768C0" w:rsidP="00C768C0">
      <w:pPr>
        <w:spacing w:after="0" w:line="240" w:lineRule="auto"/>
        <w:contextualSpacing/>
        <w:jc w:val="both"/>
        <w:rPr>
          <w:lang w:val="en-GB"/>
        </w:rPr>
      </w:pPr>
    </w:p>
    <w:p w14:paraId="61323F4A" w14:textId="04D397C8" w:rsidR="003F2DCC" w:rsidRPr="003F2DCC" w:rsidRDefault="003F2DCC" w:rsidP="00C768C0">
      <w:pPr>
        <w:spacing w:after="0" w:line="240" w:lineRule="auto"/>
        <w:contextualSpacing/>
        <w:jc w:val="both"/>
        <w:rPr>
          <w:sz w:val="24"/>
          <w:szCs w:val="24"/>
          <w:lang w:val="en-GB"/>
        </w:rPr>
      </w:pPr>
      <w:r w:rsidRPr="003F2DCC">
        <w:rPr>
          <w:sz w:val="24"/>
          <w:szCs w:val="24"/>
          <w:lang w:val="en-GB"/>
        </w:rPr>
        <w:t>Extended metadata describing experimental context and provenance are becoming increasingly important alongside primary datasets. However, their adoption remains limited due to the technical complexity of storing, querying, and managing semantic data.</w:t>
      </w:r>
    </w:p>
    <w:p w14:paraId="5FB2E867" w14:textId="77777777" w:rsidR="003F2DCC" w:rsidRPr="003F2DCC" w:rsidRDefault="003F2DCC" w:rsidP="00C768C0">
      <w:pPr>
        <w:spacing w:after="0" w:line="240" w:lineRule="auto"/>
        <w:contextualSpacing/>
        <w:jc w:val="both"/>
        <w:rPr>
          <w:sz w:val="24"/>
          <w:szCs w:val="24"/>
          <w:lang w:val="en-GB"/>
        </w:rPr>
      </w:pPr>
      <w:r w:rsidRPr="003F2DCC">
        <w:rPr>
          <w:sz w:val="24"/>
          <w:szCs w:val="24"/>
          <w:lang w:val="en-GB"/>
        </w:rPr>
        <w:t xml:space="preserve">Within the NFDI4Cat initiative, several </w:t>
      </w:r>
      <w:proofErr w:type="spellStart"/>
      <w:r w:rsidRPr="003F2DCC">
        <w:rPr>
          <w:sz w:val="24"/>
          <w:szCs w:val="24"/>
          <w:lang w:val="en-GB"/>
        </w:rPr>
        <w:t>triplestore</w:t>
      </w:r>
      <w:proofErr w:type="spellEnd"/>
      <w:r w:rsidRPr="003F2DCC">
        <w:rPr>
          <w:sz w:val="24"/>
          <w:szCs w:val="24"/>
          <w:lang w:val="en-GB"/>
        </w:rPr>
        <w:t xml:space="preserve"> solutions were evaluated based on a set of defined requirements [1]. Apache Jena Fuseki [2] was selected as a lightweight, standards-compliant backend that integrates well with the NFDI4Cat software ecosystem [3], but its minimalistic interface provides limited support for dataset exploration and metadata inspection, creating a barrier for researchers without expertise in semantic technologies.</w:t>
      </w:r>
    </w:p>
    <w:p w14:paraId="6D8A8E2F" w14:textId="77777777" w:rsidR="003F2DCC" w:rsidRPr="003F2DCC" w:rsidRDefault="003F2DCC" w:rsidP="00C768C0">
      <w:pPr>
        <w:spacing w:after="0" w:line="240" w:lineRule="auto"/>
        <w:contextualSpacing/>
        <w:jc w:val="both"/>
        <w:rPr>
          <w:sz w:val="24"/>
          <w:szCs w:val="24"/>
          <w:lang w:val="en-GB"/>
        </w:rPr>
      </w:pPr>
      <w:r w:rsidRPr="003F2DCC">
        <w:rPr>
          <w:sz w:val="24"/>
          <w:szCs w:val="24"/>
          <w:lang w:val="en-GB"/>
        </w:rPr>
        <w:t xml:space="preserve">To bridge this gap, we developed a lightweight, user-friendly RDF Uploader that enables intuitive management of datasets and graphs, supports the upload of RDF and other Fuseki-compatible serialisation formats (e.g., Turtle, OWL, JSON-LD), and provides full CRUD operations on the triple store without manual endpoint configuration or SPARQL query formulation. In addition, the integration of </w:t>
      </w:r>
      <w:proofErr w:type="spellStart"/>
      <w:r w:rsidRPr="003F2DCC">
        <w:rPr>
          <w:sz w:val="24"/>
          <w:szCs w:val="24"/>
          <w:lang w:val="en-GB"/>
        </w:rPr>
        <w:t>WebVOWL</w:t>
      </w:r>
      <w:proofErr w:type="spellEnd"/>
      <w:r w:rsidRPr="003F2DCC">
        <w:rPr>
          <w:sz w:val="24"/>
          <w:szCs w:val="24"/>
          <w:lang w:val="en-GB"/>
        </w:rPr>
        <w:t xml:space="preserve"> [4] enables interactive exploration of ontology graph structures, while interoperability with tools such as TRIQ [5] ensures a seamless transition from metadata creation to semantic storage and subsequent use.</w:t>
      </w:r>
    </w:p>
    <w:p w14:paraId="777D87F3" w14:textId="77777777" w:rsidR="003F2DCC" w:rsidRPr="003F2DCC" w:rsidRDefault="003F2DCC" w:rsidP="00C768C0">
      <w:pPr>
        <w:spacing w:after="0" w:line="240" w:lineRule="auto"/>
        <w:contextualSpacing/>
        <w:jc w:val="both"/>
        <w:rPr>
          <w:sz w:val="24"/>
          <w:szCs w:val="24"/>
          <w:lang w:val="en-GB"/>
        </w:rPr>
      </w:pPr>
      <w:r w:rsidRPr="003F2DCC">
        <w:rPr>
          <w:sz w:val="24"/>
          <w:szCs w:val="24"/>
          <w:lang w:val="en-GB"/>
        </w:rPr>
        <w:t xml:space="preserve">To support practical research scenarios, the application provides automated ingestion of RDF serialisation formats into a Fuseki-based triple store with user- and institution-specific storage paths; ontology graph visualisation with </w:t>
      </w:r>
      <w:proofErr w:type="spellStart"/>
      <w:r w:rsidRPr="003F2DCC">
        <w:rPr>
          <w:sz w:val="24"/>
          <w:szCs w:val="24"/>
          <w:lang w:val="en-GB"/>
        </w:rPr>
        <w:t>WebVOWL</w:t>
      </w:r>
      <w:proofErr w:type="spellEnd"/>
      <w:r w:rsidRPr="003F2DCC">
        <w:rPr>
          <w:sz w:val="24"/>
          <w:szCs w:val="24"/>
          <w:lang w:val="en-GB"/>
        </w:rPr>
        <w:t xml:space="preserve"> for schema-level analysis; template-based SPARQL querying with predefined and user-modifiable templates that allow data exploration without SPARQL knowledge; and flexible search scopes across user-level and institution-level graphs.</w:t>
      </w:r>
    </w:p>
    <w:p w14:paraId="25D55E41" w14:textId="77777777" w:rsidR="003F2DCC" w:rsidRPr="003F2DCC" w:rsidRDefault="003F2DCC" w:rsidP="00C768C0">
      <w:pPr>
        <w:spacing w:after="0" w:line="240" w:lineRule="auto"/>
        <w:contextualSpacing/>
        <w:jc w:val="both"/>
        <w:rPr>
          <w:sz w:val="24"/>
          <w:szCs w:val="24"/>
          <w:lang w:val="en-GB"/>
        </w:rPr>
      </w:pPr>
      <w:r w:rsidRPr="003F2DCC">
        <w:rPr>
          <w:sz w:val="24"/>
          <w:szCs w:val="24"/>
          <w:lang w:val="en-GB"/>
        </w:rPr>
        <w:t>The tool was validated on a test triple store populated with real catalysis-related metadata, demonstrating consistent querying, reusable templates, and effective schema-level inspection through visualisation.</w:t>
      </w:r>
    </w:p>
    <w:p w14:paraId="03194EC9" w14:textId="527EAC2C" w:rsidR="00220EB8" w:rsidRPr="00DC1085" w:rsidRDefault="00C25D16" w:rsidP="00C768C0">
      <w:pPr>
        <w:spacing w:after="0" w:line="240" w:lineRule="auto"/>
        <w:contextualSpacing/>
        <w:jc w:val="both"/>
        <w:rPr>
          <w:sz w:val="24"/>
          <w:szCs w:val="24"/>
          <w:lang w:val="ru-RU"/>
        </w:rPr>
      </w:pPr>
      <w:r w:rsidRPr="00DC1085">
        <w:rPr>
          <w:sz w:val="24"/>
          <w:szCs w:val="24"/>
          <w:lang w:val="en-GB"/>
        </w:rPr>
        <w:t>The presented approach shows how harmonised semantic metadata can be translated into actionable research workflows using lightweight, user-centric tools. The RDF Uploader lowers the complexity of semantic infrastructures and supports digitalisation and FAIR adoption within the NFDI4Cat community.</w:t>
      </w:r>
    </w:p>
    <w:p w14:paraId="7F3DEB77" w14:textId="77777777" w:rsidR="00DC1085" w:rsidRPr="00DC1085" w:rsidRDefault="00DC1085" w:rsidP="00C768C0">
      <w:pPr>
        <w:spacing w:after="0" w:line="240" w:lineRule="auto"/>
        <w:contextualSpacing/>
        <w:jc w:val="both"/>
        <w:rPr>
          <w:sz w:val="24"/>
          <w:szCs w:val="24"/>
          <w:lang w:val="ru-RU"/>
        </w:rPr>
      </w:pPr>
    </w:p>
    <w:p w14:paraId="412A7E9E" w14:textId="77777777" w:rsidR="00DC1085" w:rsidRPr="00DC1085" w:rsidRDefault="00DC1085" w:rsidP="00DC1085">
      <w:pPr>
        <w:spacing w:after="0" w:line="240" w:lineRule="auto"/>
        <w:contextualSpacing/>
        <w:jc w:val="both"/>
        <w:rPr>
          <w:b/>
          <w:bCs/>
          <w:sz w:val="24"/>
          <w:szCs w:val="24"/>
          <w:lang w:val="en-GB"/>
        </w:rPr>
      </w:pPr>
      <w:r w:rsidRPr="00DC1085">
        <w:rPr>
          <w:b/>
          <w:bCs/>
          <w:sz w:val="24"/>
          <w:szCs w:val="24"/>
          <w:lang w:val="en-GB"/>
        </w:rPr>
        <w:t>References</w:t>
      </w:r>
    </w:p>
    <w:p w14:paraId="16484659" w14:textId="77777777" w:rsidR="00DC1085" w:rsidRPr="00DC1085" w:rsidRDefault="00DC1085" w:rsidP="00DC1085">
      <w:pPr>
        <w:spacing w:after="0" w:line="240" w:lineRule="auto"/>
        <w:contextualSpacing/>
        <w:jc w:val="both"/>
        <w:rPr>
          <w:sz w:val="24"/>
          <w:szCs w:val="24"/>
          <w:lang w:val="en-GB"/>
        </w:rPr>
      </w:pPr>
      <w:r w:rsidRPr="00DC1085">
        <w:rPr>
          <w:sz w:val="24"/>
          <w:szCs w:val="24"/>
          <w:lang w:val="en-GB"/>
        </w:rPr>
        <w:t>1) Dikova, Y., Kushnarenko, V., Petrenko, T., Rodrigues, P., Huskova, N., and Bönisch, T. (2025). Triplestore software evaluation results. Zenodo. </w:t>
      </w:r>
      <w:r w:rsidRPr="00DC1085">
        <w:rPr>
          <w:sz w:val="24"/>
          <w:szCs w:val="24"/>
          <w:lang w:val="en-GB"/>
        </w:rPr>
        <w:fldChar w:fldCharType="begin"/>
      </w:r>
      <w:r w:rsidRPr="00DC1085">
        <w:rPr>
          <w:sz w:val="24"/>
          <w:szCs w:val="24"/>
          <w:lang w:val="en-GB"/>
        </w:rPr>
        <w:instrText>HYPERLINK "https://doi.org/10.5281/zenodo.152302692"</w:instrText>
      </w:r>
      <w:r w:rsidRPr="00DC1085">
        <w:rPr>
          <w:sz w:val="24"/>
          <w:szCs w:val="24"/>
          <w:lang w:val="en-GB"/>
        </w:rPr>
      </w:r>
      <w:r w:rsidRPr="00DC1085">
        <w:rPr>
          <w:sz w:val="24"/>
          <w:szCs w:val="24"/>
          <w:lang w:val="en-GB"/>
        </w:rPr>
        <w:fldChar w:fldCharType="separate"/>
      </w:r>
      <w:r w:rsidRPr="00DC1085">
        <w:rPr>
          <w:sz w:val="24"/>
          <w:szCs w:val="24"/>
          <w:lang w:val="en-GB"/>
        </w:rPr>
        <w:t>https://doi.org/10.5281/zenodo.152302692</w:t>
      </w:r>
      <w:r w:rsidRPr="00DC1085">
        <w:rPr>
          <w:sz w:val="24"/>
          <w:szCs w:val="24"/>
          <w:lang w:val="en-GB"/>
        </w:rPr>
        <w:fldChar w:fldCharType="end"/>
      </w:r>
      <w:r w:rsidRPr="00DC1085">
        <w:rPr>
          <w:sz w:val="24"/>
          <w:szCs w:val="24"/>
          <w:lang w:val="en-GB"/>
        </w:rPr>
        <w:t xml:space="preserve">) </w:t>
      </w:r>
    </w:p>
    <w:p w14:paraId="6DBF7ABA" w14:textId="77777777" w:rsidR="00DC1085" w:rsidRPr="00DC1085" w:rsidRDefault="00DC1085" w:rsidP="00DC1085">
      <w:pPr>
        <w:spacing w:after="0" w:line="240" w:lineRule="auto"/>
        <w:contextualSpacing/>
        <w:jc w:val="both"/>
        <w:rPr>
          <w:sz w:val="24"/>
          <w:szCs w:val="24"/>
          <w:lang w:val="en-GB"/>
        </w:rPr>
      </w:pPr>
      <w:r w:rsidRPr="00DC1085">
        <w:rPr>
          <w:sz w:val="24"/>
          <w:szCs w:val="24"/>
          <w:lang w:val="en-GB"/>
        </w:rPr>
        <w:t>2) Apache Jena Fuseki, 2025. [Online]. Available: https://jena.apache.org/documentation/fuseki2/</w:t>
      </w:r>
    </w:p>
    <w:p w14:paraId="65D42CD3" w14:textId="77777777" w:rsidR="00DC1085" w:rsidRPr="00DC1085" w:rsidRDefault="00DC1085" w:rsidP="00DC1085">
      <w:pPr>
        <w:spacing w:after="0" w:line="240" w:lineRule="auto"/>
        <w:contextualSpacing/>
        <w:jc w:val="both"/>
        <w:rPr>
          <w:sz w:val="24"/>
          <w:szCs w:val="24"/>
          <w:lang w:val="en-GB"/>
        </w:rPr>
      </w:pPr>
      <w:r w:rsidRPr="00DC1085">
        <w:rPr>
          <w:sz w:val="24"/>
          <w:szCs w:val="24"/>
          <w:lang w:val="en-GB"/>
        </w:rPr>
        <w:t xml:space="preserve">3) S. </w:t>
      </w:r>
      <w:proofErr w:type="spellStart"/>
      <w:r w:rsidRPr="00DC1085">
        <w:rPr>
          <w:sz w:val="24"/>
          <w:szCs w:val="24"/>
          <w:lang w:val="en-GB"/>
        </w:rPr>
        <w:t>Schimmler</w:t>
      </w:r>
      <w:proofErr w:type="spellEnd"/>
      <w:r w:rsidRPr="00DC1085">
        <w:rPr>
          <w:sz w:val="24"/>
          <w:szCs w:val="24"/>
          <w:lang w:val="en-GB"/>
        </w:rPr>
        <w:t xml:space="preserve"> et al., Transforming Catalysis with a Unified Digital Ecosystem. 2nd Conference on Research Data Infrastructure (</w:t>
      </w:r>
      <w:proofErr w:type="spellStart"/>
      <w:r w:rsidRPr="00DC1085">
        <w:rPr>
          <w:sz w:val="24"/>
          <w:szCs w:val="24"/>
          <w:lang w:val="en-GB"/>
        </w:rPr>
        <w:t>CoRDI</w:t>
      </w:r>
      <w:proofErr w:type="spellEnd"/>
      <w:r w:rsidRPr="00DC1085">
        <w:rPr>
          <w:sz w:val="24"/>
          <w:szCs w:val="24"/>
          <w:lang w:val="en-GB"/>
        </w:rPr>
        <w:t>), Aachen, Germany. </w:t>
      </w:r>
      <w:hyperlink r:id="rId4" w:tgtFrame="_blank">
        <w:r w:rsidRPr="00DC1085">
          <w:rPr>
            <w:sz w:val="24"/>
            <w:szCs w:val="24"/>
            <w:lang w:val="en-GB"/>
          </w:rPr>
          <w:t>https://doi.org/10.5281/zenodo.16736060</w:t>
        </w:r>
      </w:hyperlink>
    </w:p>
    <w:p w14:paraId="17C89337" w14:textId="77777777" w:rsidR="00DC1085" w:rsidRPr="00DC1085" w:rsidRDefault="00DC1085" w:rsidP="00DC1085">
      <w:pPr>
        <w:spacing w:after="0" w:line="240" w:lineRule="auto"/>
        <w:contextualSpacing/>
        <w:jc w:val="both"/>
        <w:rPr>
          <w:sz w:val="24"/>
          <w:szCs w:val="24"/>
          <w:lang w:val="en-GB"/>
        </w:rPr>
      </w:pPr>
      <w:r w:rsidRPr="00DC1085">
        <w:rPr>
          <w:sz w:val="24"/>
          <w:szCs w:val="24"/>
          <w:lang w:val="en-GB"/>
        </w:rPr>
        <w:t xml:space="preserve">4) </w:t>
      </w:r>
      <w:proofErr w:type="spellStart"/>
      <w:r w:rsidRPr="00DC1085">
        <w:rPr>
          <w:sz w:val="24"/>
          <w:szCs w:val="24"/>
          <w:lang w:val="en-GB"/>
        </w:rPr>
        <w:t>WebVOWL</w:t>
      </w:r>
      <w:proofErr w:type="spellEnd"/>
      <w:r w:rsidRPr="00DC1085">
        <w:rPr>
          <w:sz w:val="24"/>
          <w:szCs w:val="24"/>
          <w:lang w:val="en-GB"/>
        </w:rPr>
        <w:t>: Visualizing ontologies on the Web. [Online]. Available: https://github.com/VisualDataWeb/WebVOWL</w:t>
      </w:r>
    </w:p>
    <w:p w14:paraId="78FA9B73" w14:textId="5B77C7CF" w:rsidR="00DC1085" w:rsidRPr="00DC1085" w:rsidRDefault="00DC1085" w:rsidP="00C768C0">
      <w:pPr>
        <w:spacing w:after="0" w:line="240" w:lineRule="auto"/>
        <w:contextualSpacing/>
        <w:jc w:val="both"/>
        <w:rPr>
          <w:lang w:val="en-GB"/>
        </w:rPr>
      </w:pPr>
      <w:r w:rsidRPr="00DC1085">
        <w:rPr>
          <w:sz w:val="24"/>
          <w:szCs w:val="24"/>
          <w:lang w:val="en-GB"/>
        </w:rPr>
        <w:t xml:space="preserve">5) T. </w:t>
      </w:r>
      <w:proofErr w:type="spellStart"/>
      <w:r w:rsidRPr="00DC1085">
        <w:rPr>
          <w:sz w:val="24"/>
          <w:szCs w:val="24"/>
          <w:lang w:val="en-GB"/>
        </w:rPr>
        <w:t>Petrenko</w:t>
      </w:r>
      <w:proofErr w:type="spellEnd"/>
      <w:r w:rsidRPr="00DC1085">
        <w:rPr>
          <w:sz w:val="24"/>
          <w:szCs w:val="24"/>
          <w:lang w:val="en-GB"/>
        </w:rPr>
        <w:t xml:space="preserve">, Y. </w:t>
      </w:r>
      <w:proofErr w:type="spellStart"/>
      <w:r w:rsidRPr="00DC1085">
        <w:rPr>
          <w:sz w:val="24"/>
          <w:szCs w:val="24"/>
          <w:lang w:val="en-GB"/>
        </w:rPr>
        <w:t>Dikova</w:t>
      </w:r>
      <w:proofErr w:type="spellEnd"/>
      <w:r w:rsidRPr="00DC1085">
        <w:rPr>
          <w:sz w:val="24"/>
          <w:szCs w:val="24"/>
          <w:lang w:val="en-GB"/>
        </w:rPr>
        <w:t xml:space="preserve">, N. Huskova, V. </w:t>
      </w:r>
      <w:proofErr w:type="spellStart"/>
      <w:r w:rsidRPr="00DC1085">
        <w:rPr>
          <w:sz w:val="24"/>
          <w:szCs w:val="24"/>
          <w:lang w:val="en-GB"/>
        </w:rPr>
        <w:t>Kushnarenko</w:t>
      </w:r>
      <w:proofErr w:type="spellEnd"/>
      <w:r w:rsidRPr="00DC1085">
        <w:rPr>
          <w:sz w:val="24"/>
          <w:szCs w:val="24"/>
          <w:lang w:val="en-GB"/>
        </w:rPr>
        <w:t xml:space="preserve">, P. Rodrigues, and T. </w:t>
      </w:r>
      <w:proofErr w:type="spellStart"/>
      <w:r w:rsidRPr="00DC1085">
        <w:rPr>
          <w:sz w:val="24"/>
          <w:szCs w:val="24"/>
          <w:lang w:val="en-GB"/>
        </w:rPr>
        <w:t>Bönisch</w:t>
      </w:r>
      <w:proofErr w:type="spellEnd"/>
      <w:r w:rsidRPr="00DC1085">
        <w:rPr>
          <w:sz w:val="24"/>
          <w:szCs w:val="24"/>
          <w:lang w:val="en-GB"/>
        </w:rPr>
        <w:t xml:space="preserve">, “NFDI4Cat Web Application for User-Friendly Generation and Browsing of Catalysis Metadata within a Semantically Rich RDF Framework,” </w:t>
      </w:r>
      <w:proofErr w:type="spellStart"/>
      <w:r w:rsidRPr="00DC1085">
        <w:rPr>
          <w:sz w:val="24"/>
          <w:szCs w:val="24"/>
          <w:lang w:val="en-GB"/>
        </w:rPr>
        <w:t>Zenodo</w:t>
      </w:r>
      <w:proofErr w:type="spellEnd"/>
      <w:r w:rsidRPr="00DC1085">
        <w:rPr>
          <w:sz w:val="24"/>
          <w:szCs w:val="24"/>
          <w:lang w:val="en-GB"/>
        </w:rPr>
        <w:t xml:space="preserve">, Sep. 2023. Available: </w:t>
      </w:r>
      <w:hyperlink r:id="rId5">
        <w:r w:rsidRPr="00DC1085">
          <w:rPr>
            <w:sz w:val="24"/>
            <w:szCs w:val="24"/>
            <w:lang w:val="en-GB"/>
          </w:rPr>
          <w:t>https://zenodo.org/records/14389435</w:t>
        </w:r>
      </w:hyperlink>
    </w:p>
    <w:sectPr w:rsidR="00DC1085" w:rsidRPr="00DC1085" w:rsidSect="00DC1085">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1B"/>
    <w:rsid w:val="00220EB8"/>
    <w:rsid w:val="003F2DCC"/>
    <w:rsid w:val="0062317D"/>
    <w:rsid w:val="00816BC4"/>
    <w:rsid w:val="00870358"/>
    <w:rsid w:val="009F6A28"/>
    <w:rsid w:val="00A8181B"/>
    <w:rsid w:val="00C25D16"/>
    <w:rsid w:val="00C768C0"/>
    <w:rsid w:val="00DC1085"/>
    <w:rsid w:val="00F01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D5A9"/>
  <w15:chartTrackingRefBased/>
  <w15:docId w15:val="{BCEBDC90-9FA3-49EA-9A6C-DCEE81DA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8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8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8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8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8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8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8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8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8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8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81B"/>
    <w:rPr>
      <w:rFonts w:eastAsiaTheme="majorEastAsia" w:cstheme="majorBidi"/>
      <w:color w:val="272727" w:themeColor="text1" w:themeTint="D8"/>
    </w:rPr>
  </w:style>
  <w:style w:type="paragraph" w:styleId="Title">
    <w:name w:val="Title"/>
    <w:basedOn w:val="Normal"/>
    <w:next w:val="Normal"/>
    <w:link w:val="TitleChar"/>
    <w:uiPriority w:val="10"/>
    <w:qFormat/>
    <w:rsid w:val="00A81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81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81B"/>
    <w:pPr>
      <w:spacing w:before="160"/>
      <w:jc w:val="center"/>
    </w:pPr>
    <w:rPr>
      <w:i/>
      <w:iCs/>
      <w:color w:val="404040" w:themeColor="text1" w:themeTint="BF"/>
    </w:rPr>
  </w:style>
  <w:style w:type="character" w:customStyle="1" w:styleId="QuoteChar">
    <w:name w:val="Quote Char"/>
    <w:basedOn w:val="DefaultParagraphFont"/>
    <w:link w:val="Quote"/>
    <w:uiPriority w:val="29"/>
    <w:rsid w:val="00A8181B"/>
    <w:rPr>
      <w:i/>
      <w:iCs/>
      <w:color w:val="404040" w:themeColor="text1" w:themeTint="BF"/>
    </w:rPr>
  </w:style>
  <w:style w:type="paragraph" w:styleId="ListParagraph">
    <w:name w:val="List Paragraph"/>
    <w:basedOn w:val="Normal"/>
    <w:uiPriority w:val="34"/>
    <w:qFormat/>
    <w:rsid w:val="00A8181B"/>
    <w:pPr>
      <w:ind w:left="720"/>
      <w:contextualSpacing/>
    </w:pPr>
  </w:style>
  <w:style w:type="character" w:styleId="IntenseEmphasis">
    <w:name w:val="Intense Emphasis"/>
    <w:basedOn w:val="DefaultParagraphFont"/>
    <w:uiPriority w:val="21"/>
    <w:qFormat/>
    <w:rsid w:val="00A8181B"/>
    <w:rPr>
      <w:i/>
      <w:iCs/>
      <w:color w:val="2F5496" w:themeColor="accent1" w:themeShade="BF"/>
    </w:rPr>
  </w:style>
  <w:style w:type="paragraph" w:styleId="IntenseQuote">
    <w:name w:val="Intense Quote"/>
    <w:basedOn w:val="Normal"/>
    <w:next w:val="Normal"/>
    <w:link w:val="IntenseQuoteChar"/>
    <w:uiPriority w:val="30"/>
    <w:qFormat/>
    <w:rsid w:val="00A81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81B"/>
    <w:rPr>
      <w:i/>
      <w:iCs/>
      <w:color w:val="2F5496" w:themeColor="accent1" w:themeShade="BF"/>
    </w:rPr>
  </w:style>
  <w:style w:type="character" w:styleId="IntenseReference">
    <w:name w:val="Intense Reference"/>
    <w:basedOn w:val="DefaultParagraphFont"/>
    <w:uiPriority w:val="32"/>
    <w:qFormat/>
    <w:rsid w:val="00A8181B"/>
    <w:rPr>
      <w:b/>
      <w:bCs/>
      <w:smallCaps/>
      <w:color w:val="2F5496" w:themeColor="accent1" w:themeShade="BF"/>
      <w:spacing w:val="5"/>
    </w:rPr>
  </w:style>
  <w:style w:type="paragraph" w:customStyle="1" w:styleId="Titelzeile">
    <w:name w:val="Titelzeile"/>
    <w:basedOn w:val="Normal"/>
    <w:next w:val="Autoren"/>
    <w:qFormat/>
    <w:rsid w:val="00C768C0"/>
    <w:pPr>
      <w:suppressAutoHyphens/>
      <w:spacing w:after="0" w:line="360" w:lineRule="auto"/>
      <w:jc w:val="center"/>
    </w:pPr>
    <w:rPr>
      <w:rFonts w:ascii="Times New Roman" w:eastAsia="Times New Roman" w:hAnsi="Times New Roman" w:cs="Arial"/>
      <w:b/>
      <w:sz w:val="28"/>
      <w:szCs w:val="20"/>
      <w:lang w:val="en-GB" w:eastAsia="de-DE"/>
    </w:rPr>
  </w:style>
  <w:style w:type="paragraph" w:customStyle="1" w:styleId="Autoren">
    <w:name w:val="Autoren"/>
    <w:basedOn w:val="Normal"/>
    <w:qFormat/>
    <w:rsid w:val="00C768C0"/>
    <w:pPr>
      <w:suppressAutoHyphens/>
      <w:spacing w:after="0" w:line="360" w:lineRule="auto"/>
      <w:jc w:val="center"/>
    </w:pPr>
    <w:rPr>
      <w:rFonts w:ascii="Times New Roman" w:eastAsia="Times New Roman" w:hAnsi="Times New Roman" w:cs="Times New Roman"/>
      <w:i/>
      <w:iCs/>
      <w:sz w:val="24"/>
      <w:szCs w:val="20"/>
      <w:lang w:val="en-GB" w:eastAsia="de-DE"/>
    </w:rPr>
  </w:style>
  <w:style w:type="character" w:styleId="Hyperlink">
    <w:name w:val="Hyperlink"/>
    <w:basedOn w:val="DefaultParagraphFont"/>
    <w:uiPriority w:val="99"/>
    <w:unhideWhenUsed/>
    <w:rsid w:val="00DC10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8949">
      <w:bodyDiv w:val="1"/>
      <w:marLeft w:val="0"/>
      <w:marRight w:val="0"/>
      <w:marTop w:val="0"/>
      <w:marBottom w:val="0"/>
      <w:divBdr>
        <w:top w:val="none" w:sz="0" w:space="0" w:color="auto"/>
        <w:left w:val="none" w:sz="0" w:space="0" w:color="auto"/>
        <w:bottom w:val="none" w:sz="0" w:space="0" w:color="auto"/>
        <w:right w:val="none" w:sz="0" w:space="0" w:color="auto"/>
      </w:divBdr>
    </w:div>
    <w:div w:id="259610567">
      <w:bodyDiv w:val="1"/>
      <w:marLeft w:val="0"/>
      <w:marRight w:val="0"/>
      <w:marTop w:val="0"/>
      <w:marBottom w:val="0"/>
      <w:divBdr>
        <w:top w:val="none" w:sz="0" w:space="0" w:color="auto"/>
        <w:left w:val="none" w:sz="0" w:space="0" w:color="auto"/>
        <w:bottom w:val="none" w:sz="0" w:space="0" w:color="auto"/>
        <w:right w:val="none" w:sz="0" w:space="0" w:color="auto"/>
      </w:divBdr>
    </w:div>
    <w:div w:id="304549953">
      <w:bodyDiv w:val="1"/>
      <w:marLeft w:val="0"/>
      <w:marRight w:val="0"/>
      <w:marTop w:val="0"/>
      <w:marBottom w:val="0"/>
      <w:divBdr>
        <w:top w:val="none" w:sz="0" w:space="0" w:color="auto"/>
        <w:left w:val="none" w:sz="0" w:space="0" w:color="auto"/>
        <w:bottom w:val="none" w:sz="0" w:space="0" w:color="auto"/>
        <w:right w:val="none" w:sz="0" w:space="0" w:color="auto"/>
      </w:divBdr>
    </w:div>
    <w:div w:id="312103533">
      <w:bodyDiv w:val="1"/>
      <w:marLeft w:val="0"/>
      <w:marRight w:val="0"/>
      <w:marTop w:val="0"/>
      <w:marBottom w:val="0"/>
      <w:divBdr>
        <w:top w:val="none" w:sz="0" w:space="0" w:color="auto"/>
        <w:left w:val="none" w:sz="0" w:space="0" w:color="auto"/>
        <w:bottom w:val="none" w:sz="0" w:space="0" w:color="auto"/>
        <w:right w:val="none" w:sz="0" w:space="0" w:color="auto"/>
      </w:divBdr>
    </w:div>
    <w:div w:id="846791450">
      <w:bodyDiv w:val="1"/>
      <w:marLeft w:val="0"/>
      <w:marRight w:val="0"/>
      <w:marTop w:val="0"/>
      <w:marBottom w:val="0"/>
      <w:divBdr>
        <w:top w:val="none" w:sz="0" w:space="0" w:color="auto"/>
        <w:left w:val="none" w:sz="0" w:space="0" w:color="auto"/>
        <w:bottom w:val="none" w:sz="0" w:space="0" w:color="auto"/>
        <w:right w:val="none" w:sz="0" w:space="0" w:color="auto"/>
      </w:divBdr>
    </w:div>
    <w:div w:id="152871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enodo.org/records/14389435" TargetMode="External"/><Relationship Id="rId4" Type="http://schemas.openxmlformats.org/officeDocument/2006/relationships/hyperlink" Target="https://doi.org/10.5281/zenodo.1673606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cp:revision>
  <dcterms:created xsi:type="dcterms:W3CDTF">2026-01-22T12:15:00Z</dcterms:created>
  <dcterms:modified xsi:type="dcterms:W3CDTF">2026-01-22T14:49:00Z</dcterms:modified>
</cp:coreProperties>
</file>